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A" w:rsidRDefault="00127ECE"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bookmarkEnd w:id="0"/>
      <w:r>
        <w:rPr>
          <w:rFonts w:asciiTheme="majorHAnsi" w:hAnsiTheme="majorHAnsi" w:cstheme="majorHAnsi"/>
          <w:noProof/>
          <w:lang w:val="es-DO" w:eastAsia="es-DO"/>
        </w:rPr>
        <w:drawing>
          <wp:anchor distT="0" distB="0" distL="114300" distR="114300" simplePos="0" relativeHeight="251706368" behindDoc="1" locked="0" layoutInCell="1" allowOverlap="1">
            <wp:simplePos x="0" y="0"/>
            <wp:positionH relativeFrom="margin">
              <wp:posOffset>-1047750</wp:posOffset>
            </wp:positionH>
            <wp:positionV relativeFrom="paragraph">
              <wp:posOffset>-857250</wp:posOffset>
            </wp:positionV>
            <wp:extent cx="7704000" cy="996955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ptiembre-1.png"/>
                    <pic:cNvPicPr/>
                  </pic:nvPicPr>
                  <pic:blipFill>
                    <a:blip r:embed="rId11">
                      <a:extLst>
                        <a:ext uri="{28A0092B-C50C-407E-A947-70E740481C1C}">
                          <a14:useLocalDpi xmlns:a14="http://schemas.microsoft.com/office/drawing/2010/main" val="0"/>
                        </a:ext>
                      </a:extLst>
                    </a:blip>
                    <a:stretch>
                      <a:fillRect/>
                    </a:stretch>
                  </pic:blipFill>
                  <pic:spPr>
                    <a:xfrm>
                      <a:off x="0" y="0"/>
                      <a:ext cx="7704000" cy="9969555"/>
                    </a:xfrm>
                    <a:prstGeom prst="rect">
                      <a:avLst/>
                    </a:prstGeom>
                  </pic:spPr>
                </pic:pic>
              </a:graphicData>
            </a:graphic>
            <wp14:sizeRelH relativeFrom="margin">
              <wp14:pctWidth>0</wp14:pctWidth>
            </wp14:sizeRelH>
            <wp14:sizeRelV relativeFrom="margin">
              <wp14:pctHeight>0</wp14:pctHeight>
            </wp14:sizeRelV>
          </wp:anchor>
        </w:drawing>
      </w:r>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C5608E" w:rsidP="008C17F2">
                            <w:pPr>
                              <w:jc w:val="center"/>
                              <w:rPr>
                                <w:rFonts w:ascii="Calibri" w:eastAsia="Times New Roman" w:hAnsi="Calibri" w:cs="Calibri"/>
                                <w:b/>
                                <w:sz w:val="36"/>
                              </w:rPr>
                            </w:pPr>
                            <w:r>
                              <w:rPr>
                                <w:rFonts w:ascii="Calibri" w:eastAsia="Times New Roman" w:hAnsi="Calibri" w:cs="Calibri"/>
                                <w:b/>
                                <w:sz w:val="36"/>
                              </w:rPr>
                              <w:t>Septiembre</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C5608E" w:rsidP="008C17F2">
                      <w:pPr>
                        <w:jc w:val="center"/>
                        <w:rPr>
                          <w:rFonts w:ascii="Calibri" w:eastAsia="Times New Roman" w:hAnsi="Calibri" w:cs="Calibri"/>
                          <w:b/>
                          <w:sz w:val="36"/>
                        </w:rPr>
                      </w:pPr>
                      <w:r>
                        <w:rPr>
                          <w:rFonts w:ascii="Calibri" w:eastAsia="Times New Roman" w:hAnsi="Calibri" w:cs="Calibri"/>
                          <w:b/>
                          <w:sz w:val="36"/>
                        </w:rPr>
                        <w:t>Septiembre</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Resp. Principal, C/ 2da, C/ 18, C/ Resp.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Cristo Rey (parcial), La Cuarenta, El Caliche, Puerto Isabela (Hoyo Chulin).</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La Yaguita</w:t>
      </w:r>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Abanico de Herrera, El Palmar, Ens. Altagracia, Engombe,</w:t>
      </w:r>
      <w:r w:rsidRPr="00CB7CEB">
        <w:rPr>
          <w:rFonts w:ascii="Calibri" w:hAnsi="Calibri" w:cs="Calibri"/>
        </w:rPr>
        <w:t xml:space="preserve"> </w:t>
      </w:r>
      <w:r w:rsidRPr="00CB7CEB">
        <w:rPr>
          <w:rFonts w:ascii="Calibri" w:hAnsi="Calibri" w:cs="Calibri"/>
          <w:lang w:val="es-ES"/>
        </w:rPr>
        <w:t>C/ 1ra Abanico Herrera esq. C</w:t>
      </w:r>
      <w:r>
        <w:rPr>
          <w:rFonts w:ascii="Calibri" w:hAnsi="Calibri" w:cs="Calibri"/>
          <w:lang w:val="es-ES"/>
        </w:rPr>
        <w:t>arr. En</w:t>
      </w:r>
      <w:r w:rsidRPr="00CB7CEB">
        <w:rPr>
          <w:rFonts w:ascii="Calibri" w:hAnsi="Calibri" w:cs="Calibri"/>
          <w:lang w:val="es-ES"/>
        </w:rPr>
        <w:t>gombe, C/ La Hortaliza, Resp. La Hortaliza, Callejones La Hortaliza, Peatón La Hortaliza, Callejones de la Resp. 27 de febrero, Resp.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Carr. Sánchez, Jeringa, Las Flores, Barrio Puerto Rico, </w:t>
      </w:r>
      <w:r w:rsidRPr="00982BD2">
        <w:rPr>
          <w:rFonts w:ascii="Calibri" w:hAnsi="Calibri" w:cs="Calibri"/>
          <w:lang w:val="es-ES"/>
        </w:rPr>
        <w:t>Los Molinas, C/ Bonita, La Cruz, Semilla, Saban</w:t>
      </w:r>
      <w:r>
        <w:rPr>
          <w:rFonts w:ascii="Calibri" w:hAnsi="Calibri" w:cs="Calibri"/>
          <w:lang w:val="es-ES"/>
        </w:rPr>
        <w:t>a Toro, Las Rosas, Bendaño,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La Esperilla, El Vergel, Centro de los Héroes, Bella Vista, El Milloncito, Ens. Quisqueya,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r w:rsidR="007B5A48" w:rsidRPr="00982BD2">
        <w:rPr>
          <w:rFonts w:ascii="Calibri" w:hAnsi="Calibri" w:cs="Calibri"/>
        </w:rPr>
        <w:t>Korea Electric Power Corporation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Los Militares, Barrio Los Peralejos, Barrio Los Ángeles, C/ Resp.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Aut.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Aut.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Barrio El Muelle, La Pared de Haina (parcial), Carretera Sánchez, C/ Al Medio, El Muelle, Cab</w:t>
      </w:r>
      <w:r>
        <w:rPr>
          <w:rFonts w:ascii="Calibri" w:hAnsi="Calibri" w:cs="Calibri"/>
          <w:lang w:val="es-ES"/>
        </w:rPr>
        <w:t>ón, Piedra Blanca, Barsequillo</w:t>
      </w:r>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Paraíso (parcial), Serrallés (parcial), Jardines del Norte, Los Praditos, La Yuca de los Ríos, Los Prados (parcial), Los Ríos (parcial), Evaristo Morales, Piantini.</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Electrocable Aluconsa.</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El Naranjal, Colinas del Caribe, Villa Penca, Barrio Los Lanzadores, Barsequillo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BC6F8F" w:rsidRDefault="00BC6F8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Korea Electric Power Corporation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Calibri" w:hAnsi="Calibri" w:cs="Calibri"/>
        </w:rPr>
        <w:t>Palmarejito,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rsidR="009A18CE" w:rsidRPr="00630D70" w:rsidRDefault="009A18CE" w:rsidP="00B7799C">
      <w:pPr>
        <w:rPr>
          <w:rFonts w:asciiTheme="majorHAnsi" w:hAnsiTheme="majorHAnsi" w:cstheme="majorHAnsi"/>
          <w:b/>
          <w:lang w:val="es-DO"/>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Constructora Urelló</w:t>
      </w:r>
      <w:r w:rsidR="00491155" w:rsidRPr="004A2791">
        <w:rPr>
          <w:rFonts w:asciiTheme="majorHAnsi" w:hAnsiTheme="majorHAnsi" w:cstheme="majorHAnsi"/>
        </w:rPr>
        <w:t>n.</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r w:rsidRPr="004A2791">
        <w:rPr>
          <w:rFonts w:asciiTheme="majorHAnsi" w:hAnsiTheme="majorHAnsi" w:cstheme="majorHAnsi"/>
        </w:rPr>
        <w:t xml:space="preserve">Lanha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Cabayona, Villa Colina, Palave,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Invi, La Torre Lebrón, Barrio Obras Públicas, Barrio La Fe, Pueblo Nuevo (parcial), Los Libertadores y Viejo Alcarrizo.</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Villa Esperanza, El Tamarindo, La Unión, Los Multis, Barrio La Gloria (parcial), Barrio Chavón, Barrio La Piña, Barrio Santo Felipe, Barrio San Miguel, Barrio Landia.</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Alta Vista, Villa Los Peloteros, Guachupita, Chucho y Sávica Parcial (Los Alcarrizos).</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Palmarejito.</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Soluciones Energéticas Tirson Selman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Boca de Nigua, Kamungui, Las Colinas, Puerta Blanca, Los Solares, 4 de enero, Nigua,</w:t>
      </w:r>
      <w:r w:rsidRPr="009F065F">
        <w:rPr>
          <w:rFonts w:ascii="Calibri" w:hAnsi="Calibri" w:cs="Calibri"/>
        </w:rPr>
        <w:t xml:space="preserve"> Invi-Nigua.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DYNATEC Dominicana</w:t>
      </w:r>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DYNATEC Dominicana y Deltec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Constructora Urellon</w:t>
      </w:r>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Holding Electric Service</w:t>
      </w:r>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Import &amp; Export, China Camc Engineering</w:t>
      </w:r>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71573">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y, Urb. Invi, Hoja Ancha, Los Cantines,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595E98" w:rsidRDefault="00595E98"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r>
        <w:rPr>
          <w:rFonts w:ascii="Calibri" w:hAnsi="Calibri" w:cs="Calibri"/>
        </w:rPr>
        <w:t>Diciembre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r w:rsidR="00111038" w:rsidRPr="00111038">
        <w:rPr>
          <w:rFonts w:ascii="Calibri" w:hAnsi="Calibri" w:cs="Calibri"/>
        </w:rPr>
        <w:t xml:space="preserve">Diciembre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Korea Electric Power Corporation (KEPCO).</w:t>
      </w:r>
    </w:p>
    <w:p w:rsidR="00E71573" w:rsidRPr="00333F63" w:rsidRDefault="00E71573" w:rsidP="00E71573">
      <w:pPr>
        <w:rPr>
          <w:rFonts w:ascii="Calibri" w:hAnsi="Calibri" w:cs="Calibri"/>
          <w:b/>
          <w:lang w:val="es-DO"/>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r>
        <w:rPr>
          <w:rFonts w:ascii="Calibri" w:hAnsi="Calibri" w:cs="Calibri"/>
        </w:rPr>
        <w:t>Febrero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r w:rsidRPr="00111038">
        <w:rPr>
          <w:rFonts w:ascii="Calibri" w:hAnsi="Calibri" w:cs="Calibri"/>
        </w:rPr>
        <w:t>Diciembre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476ED2" w:rsidRPr="00333F63" w:rsidRDefault="00476ED2" w:rsidP="00476ED2">
      <w:pPr>
        <w:rPr>
          <w:rFonts w:ascii="Calibri" w:hAnsi="Calibri" w:cs="Calibri"/>
          <w:b/>
          <w:lang w:val="es-DO"/>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MT, </w:t>
      </w:r>
      <w:r>
        <w:rPr>
          <w:rFonts w:ascii="Calibri" w:hAnsi="Calibri" w:cs="Calibri"/>
          <w:lang w:val="es-ES"/>
        </w:rPr>
        <w:t xml:space="preserve"> </w:t>
      </w:r>
      <w:r w:rsidR="009C1F78" w:rsidRPr="009C1F78">
        <w:rPr>
          <w:rFonts w:ascii="Calibri" w:hAnsi="Calibri" w:cs="Calibri"/>
          <w:lang w:val="es-ES"/>
        </w:rPr>
        <w:t>195</w:t>
      </w:r>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Diciembre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Febrero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Km 3 ½ Av. Sánchez y Zonas Aledañas, Sector Canasta, Localidad del Km 5, Carretera Principal Najayo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Default="00C56B2A"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rsidR="004B4609" w:rsidRDefault="004B4609" w:rsidP="004B4609">
      <w:pPr>
        <w:rPr>
          <w:rFonts w:ascii="Calibri" w:hAnsi="Calibri" w:cs="Calibri"/>
          <w:b/>
        </w:rPr>
      </w:pPr>
      <w:r>
        <w:rPr>
          <w:rFonts w:ascii="Calibri" w:hAnsi="Calibri" w:cs="Calibri"/>
          <w:b/>
        </w:rPr>
        <w:t xml:space="preserve">Fecha de inicio: </w:t>
      </w:r>
      <w:r w:rsidR="00954E28">
        <w:rPr>
          <w:rFonts w:ascii="Calibri" w:hAnsi="Calibri" w:cs="Calibri"/>
        </w:rPr>
        <w:t>Marzo</w:t>
      </w:r>
      <w:r w:rsidR="000667AA"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r w:rsidR="00954E28">
        <w:rPr>
          <w:rFonts w:ascii="Calibri" w:hAnsi="Calibri" w:cs="Calibri"/>
        </w:rPr>
        <w:t>Marzo 2020</w:t>
      </w:r>
      <w:r w:rsidR="000667AA"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rsidR="004B4609" w:rsidRPr="009448E5" w:rsidRDefault="004B4609" w:rsidP="004B4609">
      <w:pPr>
        <w:rPr>
          <w:rFonts w:ascii="Calibri" w:hAnsi="Calibri" w:cs="Calibri"/>
          <w:b/>
          <w:lang w:val="es-DO"/>
        </w:rPr>
      </w:pPr>
    </w:p>
    <w:p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rsidR="004B4609" w:rsidRPr="004A2791" w:rsidRDefault="004B4609" w:rsidP="004B4609">
      <w:pPr>
        <w:rPr>
          <w:rFonts w:ascii="Calibri" w:hAnsi="Calibri" w:cs="Calibri"/>
          <w:b/>
        </w:rPr>
      </w:pPr>
    </w:p>
    <w:p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B65558" w:rsidRDefault="00B65558" w:rsidP="004B4609">
      <w:pPr>
        <w:spacing w:after="240" w:line="259" w:lineRule="auto"/>
        <w:rPr>
          <w:rFonts w:ascii="Calibri" w:hAnsi="Calibri" w:cs="Calibri"/>
          <w:b/>
          <w:noProof/>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r w:rsidR="00954E28">
        <w:rPr>
          <w:rFonts w:ascii="Calibri" w:hAnsi="Calibri" w:cs="Calibri"/>
        </w:rPr>
        <w:t>Marzo</w:t>
      </w:r>
      <w:r w:rsidR="00506002"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r w:rsidR="00954E28">
        <w:rPr>
          <w:rFonts w:ascii="Calibri" w:hAnsi="Calibri" w:cs="Calibri"/>
        </w:rPr>
        <w:t>Diciembre 2019</w:t>
      </w:r>
      <w:r w:rsidR="00506002"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4B4609" w:rsidRPr="00333F63" w:rsidRDefault="004B4609" w:rsidP="004B4609">
      <w:pPr>
        <w:rPr>
          <w:rFonts w:ascii="Calibri" w:hAnsi="Calibri" w:cs="Calibri"/>
          <w:b/>
          <w:lang w:val="es-DO"/>
        </w:rPr>
      </w:pPr>
    </w:p>
    <w:p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3,504 clientes en las localidades de Barrio Nueva Esperanza, Sal Si Puedes, La Coquera, Urb. Yamilé I, Yamilé II y Barrio Ana Ramirez.</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rsidR="004B4609" w:rsidRPr="004A2791" w:rsidRDefault="004B4609" w:rsidP="004B4609">
      <w:pPr>
        <w:rPr>
          <w:rFonts w:ascii="Calibri" w:hAnsi="Calibri" w:cs="Calibri"/>
          <w:b/>
        </w:rPr>
      </w:pPr>
    </w:p>
    <w:p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763201" w:rsidRDefault="00763201" w:rsidP="00AC3867">
      <w:pPr>
        <w:rPr>
          <w:rFonts w:ascii="Calibri" w:hAnsi="Calibri" w:cs="Calibri"/>
          <w:lang w:val="es-DO" w:eastAsia="es-DO"/>
        </w:rPr>
      </w:pPr>
    </w:p>
    <w:p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r w:rsidRPr="00E3094B">
        <w:rPr>
          <w:rFonts w:asciiTheme="majorHAnsi" w:hAnsiTheme="majorHAnsi" w:cstheme="majorHAnsi"/>
        </w:rPr>
        <w:t>Marzo 2019.</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r w:rsidRPr="00E3094B">
        <w:rPr>
          <w:rFonts w:asciiTheme="majorHAnsi" w:hAnsiTheme="majorHAnsi" w:cstheme="majorHAnsi"/>
        </w:rPr>
        <w:t>Junio 2020.</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rsidR="00763201" w:rsidRPr="00E3094B" w:rsidRDefault="00763201" w:rsidP="00763201">
      <w:pPr>
        <w:rPr>
          <w:rFonts w:asciiTheme="majorHAnsi" w:hAnsiTheme="majorHAnsi" w:cstheme="majorHAnsi"/>
        </w:rPr>
      </w:pPr>
    </w:p>
    <w:p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Soluciones Energéticas Tirson Selman (SOLES)</w:t>
      </w:r>
      <w:r w:rsidR="00763201" w:rsidRPr="00E3094B">
        <w:rPr>
          <w:rFonts w:asciiTheme="majorHAnsi" w:hAnsiTheme="majorHAnsi" w:cstheme="majorHAnsi"/>
          <w:lang w:val="es-DO"/>
        </w:rPr>
        <w:t>.</w:t>
      </w:r>
    </w:p>
    <w:p w:rsidR="00763201" w:rsidRPr="00E3094B" w:rsidRDefault="00763201" w:rsidP="00763201">
      <w:pPr>
        <w:rPr>
          <w:rFonts w:asciiTheme="majorHAnsi" w:hAnsiTheme="majorHAnsi" w:cstheme="majorHAnsi"/>
          <w:b/>
          <w:lang w:val="es-DO"/>
        </w:rPr>
      </w:pPr>
    </w:p>
    <w:p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11,147 clientes en las localidades de La Paz, Las Palmeras, Barrio 13 de Febrero, Los García.</w:t>
      </w:r>
    </w:p>
    <w:p w:rsidR="00E3094B" w:rsidRPr="00E3094B" w:rsidRDefault="00E3094B" w:rsidP="00763201">
      <w:pPr>
        <w:rPr>
          <w:rFonts w:asciiTheme="majorHAnsi" w:hAnsiTheme="majorHAnsi" w:cstheme="majorHAnsi"/>
          <w:lang w:val="es-ES"/>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rsidR="00763201" w:rsidRPr="00E3094B" w:rsidRDefault="00763201" w:rsidP="00763201">
      <w:pPr>
        <w:rPr>
          <w:rFonts w:asciiTheme="majorHAnsi" w:hAnsiTheme="majorHAnsi" w:cstheme="majorHAnsi"/>
          <w:b/>
        </w:rPr>
      </w:pPr>
    </w:p>
    <w:p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rsidR="00763201" w:rsidRPr="00E3094B" w:rsidRDefault="00763201" w:rsidP="00763201">
      <w:pPr>
        <w:tabs>
          <w:tab w:val="left" w:pos="743"/>
        </w:tabs>
        <w:jc w:val="both"/>
        <w:rPr>
          <w:rFonts w:asciiTheme="majorHAnsi" w:hAnsiTheme="majorHAnsi" w:cstheme="majorHAnsi"/>
          <w:b/>
        </w:rPr>
      </w:pPr>
    </w:p>
    <w:p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rsidR="00E3094B" w:rsidRPr="00E3094B" w:rsidRDefault="00E3094B" w:rsidP="00763201">
      <w:pPr>
        <w:rPr>
          <w:rFonts w:asciiTheme="majorHAnsi" w:hAnsiTheme="majorHAnsi" w:cstheme="majorHAns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C1404" w:rsidRDefault="007C1404" w:rsidP="00763201">
      <w:pPr>
        <w:spacing w:after="240" w:line="259" w:lineRule="auto"/>
        <w:rPr>
          <w:rFonts w:ascii="Calibri" w:hAnsi="Calibri" w:cs="Calibri"/>
          <w:b/>
          <w:noProof/>
          <w:lang w:val="es-DO" w:eastAsia="es-DO"/>
        </w:rPr>
      </w:pPr>
    </w:p>
    <w:p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rsidR="00763201" w:rsidRDefault="00763201" w:rsidP="00763201">
      <w:pPr>
        <w:rPr>
          <w:rFonts w:ascii="Calibri" w:hAnsi="Calibri" w:cs="Calibri"/>
          <w:b/>
        </w:rPr>
      </w:pPr>
      <w:r>
        <w:rPr>
          <w:rFonts w:ascii="Calibri" w:hAnsi="Calibri" w:cs="Calibri"/>
          <w:b/>
        </w:rPr>
        <w:t xml:space="preserve">Fecha de inicio: </w:t>
      </w:r>
      <w:r w:rsidR="000E2BE0">
        <w:rPr>
          <w:rFonts w:ascii="Calibri" w:hAnsi="Calibri" w:cs="Calibri"/>
        </w:rPr>
        <w:t>Diciembre 2018</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b/>
        </w:rPr>
      </w:pPr>
      <w:r>
        <w:rPr>
          <w:rFonts w:ascii="Calibri" w:hAnsi="Calibri" w:cs="Calibri"/>
          <w:b/>
        </w:rPr>
        <w:t xml:space="preserve">Fin del proyecto: </w:t>
      </w:r>
      <w:r w:rsidR="000E2BE0">
        <w:rPr>
          <w:rFonts w:ascii="Calibri" w:hAnsi="Calibri" w:cs="Calibri"/>
        </w:rPr>
        <w:t>Diciembre</w:t>
      </w:r>
      <w:r>
        <w:rPr>
          <w:rFonts w:ascii="Calibri" w:hAnsi="Calibri" w:cs="Calibri"/>
        </w:rPr>
        <w:t xml:space="preserve"> 20</w:t>
      </w:r>
      <w:r w:rsidR="000E2BE0">
        <w:rPr>
          <w:rFonts w:ascii="Calibri" w:hAnsi="Calibri" w:cs="Calibri"/>
        </w:rPr>
        <w:t>19</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63201" w:rsidRDefault="00763201" w:rsidP="00763201">
      <w:pPr>
        <w:rPr>
          <w:rFonts w:ascii="Calibri" w:hAnsi="Calibri" w:cs="Calibri"/>
        </w:rPr>
      </w:pPr>
    </w:p>
    <w:p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r w:rsidR="000E2BE0" w:rsidRPr="00333F63">
        <w:rPr>
          <w:rFonts w:ascii="Calibri" w:hAnsi="Calibri" w:cs="Calibri"/>
          <w:lang w:val="es-DO"/>
        </w:rPr>
        <w:t>Korea Electric Power Corporation (KEPCO).</w:t>
      </w:r>
    </w:p>
    <w:p w:rsidR="00763201" w:rsidRPr="00333F63" w:rsidRDefault="00763201" w:rsidP="00763201">
      <w:pPr>
        <w:rPr>
          <w:rFonts w:ascii="Calibri" w:hAnsi="Calibri" w:cs="Calibri"/>
          <w:b/>
          <w:lang w:val="es-DO"/>
        </w:rPr>
      </w:pPr>
    </w:p>
    <w:p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rsidR="00763201" w:rsidRPr="004A2791" w:rsidRDefault="00763201" w:rsidP="00763201">
      <w:pPr>
        <w:rPr>
          <w:rFonts w:ascii="Calibri" w:hAnsi="Calibri" w:cs="Calibri"/>
          <w:lang w:val="es-ES"/>
        </w:rPr>
      </w:pPr>
    </w:p>
    <w:p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rsidR="00763201" w:rsidRPr="004A2791" w:rsidRDefault="00763201" w:rsidP="00763201">
      <w:pPr>
        <w:rPr>
          <w:rFonts w:ascii="Calibri" w:hAnsi="Calibri" w:cs="Calibri"/>
          <w:b/>
        </w:rPr>
      </w:pPr>
    </w:p>
    <w:p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rsidR="00763201" w:rsidRPr="004A2791" w:rsidRDefault="00763201" w:rsidP="00763201">
      <w:pPr>
        <w:tabs>
          <w:tab w:val="left" w:pos="743"/>
        </w:tabs>
        <w:jc w:val="both"/>
        <w:rPr>
          <w:rFonts w:ascii="Calibri" w:hAnsi="Calibri" w:cs="Calibri"/>
          <w:b/>
        </w:rPr>
      </w:pPr>
    </w:p>
    <w:p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763201" w:rsidP="00763201">
      <w:pPr>
        <w:rPr>
          <w:rFonts w:ascii="Calibri" w:hAnsi="Calibri" w:cs="Calibri"/>
          <w:b/>
          <w:noProof/>
          <w:lang w:val="es-DO" w:eastAsia="es-DO"/>
        </w:rPr>
      </w:pPr>
    </w:p>
    <w:p w:rsidR="00763201" w:rsidRPr="00AC3867" w:rsidRDefault="00763201" w:rsidP="00AC3867">
      <w:pPr>
        <w:rPr>
          <w:rFonts w:ascii="Calibri" w:hAnsi="Calibri" w:cs="Calibri"/>
          <w:lang w:val="es-DO" w:eastAsia="es-DO"/>
        </w:rPr>
      </w:pPr>
    </w:p>
    <w:sectPr w:rsidR="00763201" w:rsidRPr="00AC3867" w:rsidSect="004839A3">
      <w:headerReference w:type="even" r:id="rId87"/>
      <w:headerReference w:type="default" r:id="rId88"/>
      <w:headerReference w:type="first" r:id="rId8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201" w:rsidRDefault="00763201" w:rsidP="00E6026D">
      <w:r>
        <w:separator/>
      </w:r>
    </w:p>
  </w:endnote>
  <w:endnote w:type="continuationSeparator" w:id="0">
    <w:p w:rsidR="00763201" w:rsidRDefault="00763201"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rsidTr="00D903AC">
          <w:tc>
            <w:tcPr>
              <w:tcW w:w="4819" w:type="dxa"/>
            </w:tcPr>
            <w:p w:rsidR="00763201" w:rsidRPr="00A01694" w:rsidRDefault="00763201" w:rsidP="00A01694">
              <w:pPr>
                <w:pStyle w:val="Piedepgina"/>
                <w:rPr>
                  <w:sz w:val="16"/>
                </w:rPr>
              </w:pPr>
              <w:r w:rsidRPr="00A01694">
                <w:rPr>
                  <w:sz w:val="16"/>
                </w:rPr>
                <w:t>Elaborado Por:</w:t>
              </w:r>
            </w:p>
          </w:tc>
          <w:tc>
            <w:tcPr>
              <w:tcW w:w="1848" w:type="dxa"/>
            </w:tcPr>
            <w:p w:rsidR="00763201" w:rsidRPr="00A01694" w:rsidRDefault="00763201" w:rsidP="00A01694">
              <w:pPr>
                <w:pStyle w:val="Piedepgina"/>
                <w:rPr>
                  <w:sz w:val="16"/>
                </w:rPr>
              </w:pPr>
              <w:r w:rsidRPr="00A01694">
                <w:rPr>
                  <w:sz w:val="16"/>
                </w:rPr>
                <w:t>Revisado Por:</w:t>
              </w:r>
            </w:p>
          </w:tc>
          <w:tc>
            <w:tcPr>
              <w:tcW w:w="1848" w:type="dxa"/>
            </w:tcPr>
            <w:p w:rsidR="00763201" w:rsidRPr="00A01694" w:rsidRDefault="00763201" w:rsidP="00A01694">
              <w:pPr>
                <w:pStyle w:val="Piedepgina"/>
                <w:rPr>
                  <w:sz w:val="16"/>
                </w:rPr>
              </w:pPr>
              <w:r w:rsidRPr="00A01694">
                <w:rPr>
                  <w:sz w:val="16"/>
                </w:rPr>
                <w:t>Autorizado Por:</w:t>
              </w:r>
            </w:p>
          </w:tc>
          <w:tc>
            <w:tcPr>
              <w:tcW w:w="1701" w:type="dxa"/>
            </w:tcPr>
            <w:p w:rsidR="00763201" w:rsidRPr="00A01694" w:rsidRDefault="00763201" w:rsidP="00A01694">
              <w:pPr>
                <w:pStyle w:val="Piedepgina"/>
                <w:rPr>
                  <w:sz w:val="16"/>
                </w:rPr>
              </w:pPr>
              <w:r w:rsidRPr="00A01694">
                <w:rPr>
                  <w:sz w:val="16"/>
                </w:rPr>
                <w:t>Fecha</w:t>
              </w:r>
            </w:p>
          </w:tc>
        </w:tr>
        <w:tr w:rsidR="00763201" w:rsidRPr="00A01694" w:rsidTr="00D903AC">
          <w:tc>
            <w:tcPr>
              <w:tcW w:w="4819" w:type="dxa"/>
            </w:tcPr>
            <w:p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rsidR="00763201" w:rsidRPr="00A01694" w:rsidRDefault="00763201" w:rsidP="00A01694">
              <w:pPr>
                <w:pStyle w:val="Piedepgina"/>
                <w:rPr>
                  <w:sz w:val="16"/>
                </w:rPr>
              </w:pPr>
              <w:r w:rsidRPr="00A01694">
                <w:rPr>
                  <w:sz w:val="16"/>
                </w:rPr>
                <w:t>Dilcia Villanueva</w:t>
              </w:r>
            </w:p>
          </w:tc>
          <w:tc>
            <w:tcPr>
              <w:tcW w:w="1848" w:type="dxa"/>
            </w:tcPr>
            <w:p w:rsidR="00763201" w:rsidRPr="00A01694" w:rsidRDefault="00763201" w:rsidP="00A01694">
              <w:pPr>
                <w:pStyle w:val="Piedepgina"/>
                <w:rPr>
                  <w:sz w:val="16"/>
                </w:rPr>
              </w:pPr>
              <w:r w:rsidRPr="00A01694">
                <w:rPr>
                  <w:sz w:val="16"/>
                </w:rPr>
                <w:t>Juan Manuel Vicioso</w:t>
              </w:r>
            </w:p>
          </w:tc>
          <w:tc>
            <w:tcPr>
              <w:tcW w:w="1701" w:type="dxa"/>
            </w:tcPr>
            <w:p w:rsidR="00763201" w:rsidRPr="00A01694" w:rsidRDefault="00763201" w:rsidP="00A01694">
              <w:pPr>
                <w:pStyle w:val="Piedepgina"/>
                <w:rPr>
                  <w:sz w:val="16"/>
                </w:rPr>
              </w:pPr>
              <w:r>
                <w:rPr>
                  <w:sz w:val="16"/>
                </w:rPr>
                <w:t>18/08</w:t>
              </w:r>
              <w:r w:rsidRPr="00A01694">
                <w:rPr>
                  <w:sz w:val="16"/>
                </w:rPr>
                <w:t>/2017</w:t>
              </w:r>
            </w:p>
          </w:tc>
        </w:tr>
      </w:tbl>
      <w:p w:rsidR="00763201" w:rsidRPr="00EC3302" w:rsidRDefault="00127ECE">
        <w:pPr>
          <w:pStyle w:val="Piedepgina"/>
          <w:jc w:val="center"/>
          <w:rPr>
            <w:sz w:val="20"/>
          </w:rPr>
        </w:pPr>
      </w:p>
    </w:sdtContent>
  </w:sdt>
  <w:p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rsidP="006A7484">
    <w:pPr>
      <w:pStyle w:val="Piedepgina"/>
    </w:pPr>
  </w:p>
  <w:p w:rsidR="00763201" w:rsidRDefault="00763201" w:rsidP="006A7484">
    <w:pPr>
      <w:pStyle w:val="Piedepgina"/>
    </w:pPr>
  </w:p>
  <w:p w:rsidR="00763201" w:rsidRDefault="00763201" w:rsidP="006A7484">
    <w:pPr>
      <w:pStyle w:val="Piedepgina"/>
    </w:pPr>
  </w:p>
  <w:p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201" w:rsidRDefault="00763201" w:rsidP="00E6026D">
      <w:r>
        <w:separator/>
      </w:r>
    </w:p>
  </w:footnote>
  <w:footnote w:type="continuationSeparator" w:id="0">
    <w:p w:rsidR="00763201" w:rsidRDefault="00763201"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127ECE">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127ECE">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127ECE">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127ECE">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091A"/>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6062F"/>
    <w:rsid w:val="00B60671"/>
    <w:rsid w:val="00B6108C"/>
    <w:rsid w:val="00B622E8"/>
    <w:rsid w:val="00B62634"/>
    <w:rsid w:val="00B62BFA"/>
    <w:rsid w:val="00B64D8A"/>
    <w:rsid w:val="00B65558"/>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header" Target="header6.xml"/><Relationship Id="rId16" Type="http://schemas.openxmlformats.org/officeDocument/2006/relationships/image" Target="media/image12.PNG"/><Relationship Id="rId11" Type="http://schemas.openxmlformats.org/officeDocument/2006/relationships/image" Target="media/image10.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eader" Target="header4.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46DA-4466-448E-8E31-2AAF0D9F4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40</Pages>
  <Words>3278</Words>
  <Characters>18033</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101</cp:revision>
  <cp:lastPrinted>2017-09-13T16:49:00Z</cp:lastPrinted>
  <dcterms:created xsi:type="dcterms:W3CDTF">2019-01-31T19:41:00Z</dcterms:created>
  <dcterms:modified xsi:type="dcterms:W3CDTF">2019-10-01T20:03:00Z</dcterms:modified>
</cp:coreProperties>
</file>